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6FE3E">
      <w:pPr>
        <w:pStyle w:val="2"/>
        <w:spacing w:line="500" w:lineRule="exact"/>
        <w:ind w:left="0" w:leftChars="0" w:firstLine="0" w:firstLineChars="0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蚌埠市市政设施管理服务中心原流行到底门面房竞价招租项目</w:t>
      </w:r>
      <w:r>
        <w:rPr>
          <w:rFonts w:hint="eastAsia" w:ascii="仿宋" w:hAnsi="仿宋" w:eastAsia="仿宋" w:cs="仿宋"/>
        </w:rPr>
        <w:t>招租公告</w:t>
      </w:r>
    </w:p>
    <w:p w14:paraId="290BEC5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蚌埠市市政设施管理服务中心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现有门面房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间。向社会公开出租。租赁房均为混合结构，该房产仅限于承租房营业使用，租赁期间承租房不得以任何方式进行转租，不得经营法律法规明令禁止的活动，不得经营可能干扰周边商户正常营业、造成不良影响的活动 (如环境污染噪音扰民等);不得经营可能破坏房内设施和环境的活动 (如餐饮等)。 出租年限：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年。</w:t>
      </w:r>
    </w:p>
    <w:tbl>
      <w:tblPr>
        <w:tblStyle w:val="5"/>
        <w:tblpPr w:leftFromText="180" w:rightFromText="180" w:vertAnchor="text" w:horzAnchor="page" w:tblpX="939" w:tblpY="432"/>
        <w:tblOverlap w:val="never"/>
        <w:tblW w:w="10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737"/>
        <w:gridCol w:w="861"/>
        <w:gridCol w:w="741"/>
        <w:gridCol w:w="1006"/>
        <w:gridCol w:w="1058"/>
        <w:gridCol w:w="1130"/>
        <w:gridCol w:w="1041"/>
        <w:gridCol w:w="1115"/>
        <w:gridCol w:w="1144"/>
      </w:tblGrid>
      <w:tr w14:paraId="30B1F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0480" w:type="dxa"/>
            <w:gridSpan w:val="10"/>
            <w:noWrap w:val="0"/>
            <w:vAlign w:val="center"/>
          </w:tcPr>
          <w:p w14:paraId="7CBB031E">
            <w:pPr>
              <w:pStyle w:val="3"/>
              <w:spacing w:before="0" w:beforeAutospacing="0" w:after="0" w:afterAutospacing="0" w:line="348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</w:rPr>
              <w:t>蚌埠市市政设施管理服务中心</w:t>
            </w:r>
          </w:p>
        </w:tc>
      </w:tr>
      <w:tr w14:paraId="0A899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647" w:type="dxa"/>
            <w:vMerge w:val="restart"/>
            <w:noWrap w:val="0"/>
            <w:vAlign w:val="center"/>
          </w:tcPr>
          <w:p w14:paraId="4414B586">
            <w:pPr>
              <w:pStyle w:val="3"/>
              <w:spacing w:before="0" w:beforeAutospacing="0" w:after="0" w:afterAutospacing="0" w:line="348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737" w:type="dxa"/>
            <w:vMerge w:val="restart"/>
            <w:noWrap w:val="0"/>
            <w:vAlign w:val="center"/>
          </w:tcPr>
          <w:p w14:paraId="091C1110">
            <w:pPr>
              <w:pStyle w:val="3"/>
              <w:spacing w:before="0" w:beforeAutospacing="0" w:after="0" w:afterAutospacing="0" w:line="348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</w:rPr>
              <w:t>房屋所有权人</w:t>
            </w:r>
          </w:p>
        </w:tc>
        <w:tc>
          <w:tcPr>
            <w:tcW w:w="861" w:type="dxa"/>
            <w:vMerge w:val="restart"/>
            <w:noWrap w:val="0"/>
            <w:vAlign w:val="center"/>
          </w:tcPr>
          <w:p w14:paraId="0C960290">
            <w:pPr>
              <w:pStyle w:val="3"/>
              <w:spacing w:before="0" w:beforeAutospacing="0" w:after="0" w:afterAutospacing="0" w:line="348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</w:rPr>
              <w:t>房屋名称</w:t>
            </w:r>
          </w:p>
        </w:tc>
        <w:tc>
          <w:tcPr>
            <w:tcW w:w="741" w:type="dxa"/>
            <w:noWrap w:val="0"/>
            <w:vAlign w:val="center"/>
          </w:tcPr>
          <w:p w14:paraId="08C4185E">
            <w:pPr>
              <w:pStyle w:val="3"/>
              <w:spacing w:before="0" w:beforeAutospacing="0" w:after="0" w:afterAutospacing="0" w:line="348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建筑</w:t>
            </w:r>
          </w:p>
        </w:tc>
        <w:tc>
          <w:tcPr>
            <w:tcW w:w="1006" w:type="dxa"/>
            <w:vMerge w:val="restart"/>
            <w:noWrap w:val="0"/>
            <w:vAlign w:val="center"/>
          </w:tcPr>
          <w:p w14:paraId="32FFC3DF">
            <w:pPr>
              <w:pStyle w:val="3"/>
              <w:spacing w:before="0" w:beforeAutospacing="0" w:after="0" w:afterAutospacing="0" w:line="348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</w:rPr>
              <w:t>面积(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㎡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</w:rPr>
              <w:t>)</w:t>
            </w:r>
          </w:p>
        </w:tc>
        <w:tc>
          <w:tcPr>
            <w:tcW w:w="1058" w:type="dxa"/>
            <w:vMerge w:val="restart"/>
            <w:noWrap w:val="0"/>
            <w:vAlign w:val="center"/>
          </w:tcPr>
          <w:p w14:paraId="0C4F001F">
            <w:pPr>
              <w:pStyle w:val="3"/>
              <w:spacing w:before="0" w:beforeAutospacing="0" w:after="0" w:afterAutospacing="0" w:line="348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</w:rPr>
              <w:t>规划</w:t>
            </w:r>
          </w:p>
          <w:p w14:paraId="416E49C1">
            <w:pPr>
              <w:pStyle w:val="3"/>
              <w:spacing w:before="0" w:beforeAutospacing="0" w:after="0" w:afterAutospacing="0" w:line="348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</w:rPr>
              <w:t>用途</w:t>
            </w:r>
          </w:p>
        </w:tc>
        <w:tc>
          <w:tcPr>
            <w:tcW w:w="1130" w:type="dxa"/>
            <w:vMerge w:val="restart"/>
            <w:noWrap w:val="0"/>
            <w:vAlign w:val="center"/>
          </w:tcPr>
          <w:p w14:paraId="5CE3A21F">
            <w:pPr>
              <w:pStyle w:val="3"/>
              <w:spacing w:before="0" w:beforeAutospacing="0" w:after="0" w:afterAutospacing="0" w:line="348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</w:rPr>
              <w:t>租赁</w:t>
            </w:r>
          </w:p>
          <w:p w14:paraId="6BCEF2F2">
            <w:pPr>
              <w:pStyle w:val="3"/>
              <w:spacing w:before="0" w:beforeAutospacing="0" w:after="0" w:afterAutospacing="0" w:line="348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</w:rPr>
              <w:t>用途</w:t>
            </w:r>
          </w:p>
        </w:tc>
        <w:tc>
          <w:tcPr>
            <w:tcW w:w="2156" w:type="dxa"/>
            <w:gridSpan w:val="2"/>
            <w:noWrap w:val="0"/>
            <w:vAlign w:val="center"/>
          </w:tcPr>
          <w:p w14:paraId="10D765B8">
            <w:pPr>
              <w:pStyle w:val="3"/>
              <w:spacing w:before="0" w:beforeAutospacing="0" w:after="0" w:afterAutospacing="0" w:line="348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</w:rPr>
              <w:t>评估值(元)</w:t>
            </w:r>
          </w:p>
        </w:tc>
        <w:tc>
          <w:tcPr>
            <w:tcW w:w="1144" w:type="dxa"/>
            <w:vMerge w:val="restart"/>
            <w:noWrap w:val="0"/>
            <w:vAlign w:val="center"/>
          </w:tcPr>
          <w:p w14:paraId="6A5C741E">
            <w:pPr>
              <w:pStyle w:val="3"/>
              <w:spacing w:before="0" w:beforeAutospacing="0" w:after="0" w:afterAutospacing="0" w:line="348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</w:rPr>
              <w:t>备注</w:t>
            </w:r>
          </w:p>
        </w:tc>
      </w:tr>
      <w:tr w14:paraId="44F37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647" w:type="dxa"/>
            <w:vMerge w:val="continue"/>
            <w:noWrap w:val="0"/>
            <w:vAlign w:val="center"/>
          </w:tcPr>
          <w:p w14:paraId="522E868A">
            <w:pPr>
              <w:pStyle w:val="3"/>
              <w:spacing w:before="0" w:beforeAutospacing="0" w:after="0" w:afterAutospacing="0" w:line="348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737" w:type="dxa"/>
            <w:vMerge w:val="continue"/>
            <w:noWrap w:val="0"/>
            <w:vAlign w:val="center"/>
          </w:tcPr>
          <w:p w14:paraId="0FA13F34">
            <w:pPr>
              <w:pStyle w:val="3"/>
              <w:spacing w:before="0" w:beforeAutospacing="0" w:after="0" w:afterAutospacing="0" w:line="348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861" w:type="dxa"/>
            <w:vMerge w:val="continue"/>
            <w:noWrap w:val="0"/>
            <w:vAlign w:val="center"/>
          </w:tcPr>
          <w:p w14:paraId="1E14D6FC">
            <w:pPr>
              <w:pStyle w:val="3"/>
              <w:spacing w:before="0" w:beforeAutospacing="0" w:after="0" w:afterAutospacing="0" w:line="348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741" w:type="dxa"/>
            <w:noWrap w:val="0"/>
            <w:vAlign w:val="center"/>
          </w:tcPr>
          <w:p w14:paraId="588625B7">
            <w:pPr>
              <w:pStyle w:val="3"/>
              <w:spacing w:before="0" w:beforeAutospacing="0" w:after="0" w:afterAutospacing="0" w:line="348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结构</w:t>
            </w:r>
          </w:p>
        </w:tc>
        <w:tc>
          <w:tcPr>
            <w:tcW w:w="1006" w:type="dxa"/>
            <w:vMerge w:val="continue"/>
            <w:noWrap w:val="0"/>
            <w:vAlign w:val="center"/>
          </w:tcPr>
          <w:p w14:paraId="06E6445F">
            <w:pPr>
              <w:pStyle w:val="3"/>
              <w:spacing w:before="0" w:beforeAutospacing="0" w:after="0" w:afterAutospacing="0" w:line="348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58" w:type="dxa"/>
            <w:vMerge w:val="continue"/>
            <w:noWrap w:val="0"/>
            <w:vAlign w:val="center"/>
          </w:tcPr>
          <w:p w14:paraId="67761479">
            <w:pPr>
              <w:pStyle w:val="3"/>
              <w:spacing w:before="0" w:beforeAutospacing="0" w:after="0" w:afterAutospacing="0" w:line="348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130" w:type="dxa"/>
            <w:vMerge w:val="continue"/>
            <w:noWrap w:val="0"/>
            <w:vAlign w:val="center"/>
          </w:tcPr>
          <w:p w14:paraId="093DFDAC">
            <w:pPr>
              <w:pStyle w:val="3"/>
              <w:spacing w:before="0" w:beforeAutospacing="0" w:after="0" w:afterAutospacing="0" w:line="348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41" w:type="dxa"/>
            <w:noWrap w:val="0"/>
            <w:vAlign w:val="center"/>
          </w:tcPr>
          <w:p w14:paraId="0C062F9C">
            <w:pPr>
              <w:pStyle w:val="3"/>
              <w:spacing w:before="0" w:beforeAutospacing="0" w:after="0" w:afterAutospacing="0" w:line="348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</w:rPr>
              <w:t>单位</w:t>
            </w:r>
          </w:p>
          <w:p w14:paraId="6A98034A">
            <w:pPr>
              <w:pStyle w:val="3"/>
              <w:spacing w:before="0" w:beforeAutospacing="0" w:after="0" w:afterAutospacing="0" w:line="348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</w:rPr>
              <w:t>月租金</w:t>
            </w:r>
          </w:p>
        </w:tc>
        <w:tc>
          <w:tcPr>
            <w:tcW w:w="1115" w:type="dxa"/>
            <w:noWrap w:val="0"/>
            <w:vAlign w:val="center"/>
          </w:tcPr>
          <w:p w14:paraId="445C3AD4">
            <w:pPr>
              <w:pStyle w:val="3"/>
              <w:spacing w:before="0" w:beforeAutospacing="0" w:after="0" w:afterAutospacing="0" w:line="348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</w:rPr>
              <w:t>年租金</w:t>
            </w:r>
          </w:p>
        </w:tc>
        <w:tc>
          <w:tcPr>
            <w:tcW w:w="1144" w:type="dxa"/>
            <w:vMerge w:val="continue"/>
            <w:noWrap w:val="0"/>
            <w:vAlign w:val="center"/>
          </w:tcPr>
          <w:p w14:paraId="7A4DDA9E">
            <w:pPr>
              <w:pStyle w:val="3"/>
              <w:spacing w:before="0" w:beforeAutospacing="0" w:after="0" w:afterAutospacing="0" w:line="348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</w:tr>
      <w:tr w14:paraId="34523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647" w:type="dxa"/>
            <w:noWrap w:val="0"/>
            <w:vAlign w:val="center"/>
          </w:tcPr>
          <w:p w14:paraId="27D76B07">
            <w:pPr>
              <w:pStyle w:val="3"/>
              <w:spacing w:before="0" w:beforeAutospacing="0" w:after="0" w:afterAutospacing="0" w:line="348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37" w:type="dxa"/>
            <w:noWrap w:val="0"/>
            <w:vAlign w:val="center"/>
          </w:tcPr>
          <w:p w14:paraId="26FB636C">
            <w:pPr>
              <w:pStyle w:val="3"/>
              <w:spacing w:before="0" w:beforeAutospacing="0" w:after="0" w:afterAutospacing="0" w:line="348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蚌埠市市政设施管理服务中心</w:t>
            </w:r>
          </w:p>
        </w:tc>
        <w:tc>
          <w:tcPr>
            <w:tcW w:w="861" w:type="dxa"/>
            <w:noWrap w:val="0"/>
            <w:vAlign w:val="center"/>
          </w:tcPr>
          <w:p w14:paraId="3B5DD91B">
            <w:pPr>
              <w:pStyle w:val="3"/>
              <w:spacing w:before="0" w:beforeAutospacing="0" w:after="0" w:afterAutospacing="0" w:line="348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  <w:t>原流行到底</w:t>
            </w:r>
          </w:p>
        </w:tc>
        <w:tc>
          <w:tcPr>
            <w:tcW w:w="741" w:type="dxa"/>
            <w:noWrap w:val="0"/>
            <w:vAlign w:val="center"/>
          </w:tcPr>
          <w:p w14:paraId="39636976">
            <w:pPr>
              <w:pStyle w:val="3"/>
              <w:spacing w:before="0" w:beforeAutospacing="0" w:after="0" w:afterAutospacing="0" w:line="348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  <w:t>混合</w:t>
            </w:r>
          </w:p>
        </w:tc>
        <w:tc>
          <w:tcPr>
            <w:tcW w:w="1006" w:type="dxa"/>
            <w:noWrap w:val="0"/>
            <w:vAlign w:val="center"/>
          </w:tcPr>
          <w:p w14:paraId="58F541F4">
            <w:pPr>
              <w:pStyle w:val="3"/>
              <w:spacing w:before="0" w:beforeAutospacing="0" w:after="0" w:afterAutospacing="0" w:line="348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  <w:t>53.65</w:t>
            </w:r>
          </w:p>
        </w:tc>
        <w:tc>
          <w:tcPr>
            <w:tcW w:w="1058" w:type="dxa"/>
            <w:noWrap w:val="0"/>
            <w:vAlign w:val="center"/>
          </w:tcPr>
          <w:p w14:paraId="30C9B7E1">
            <w:pPr>
              <w:pStyle w:val="3"/>
              <w:spacing w:before="0" w:beforeAutospacing="0" w:after="0" w:afterAutospacing="0" w:line="348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  <w:t>商业</w:t>
            </w:r>
          </w:p>
        </w:tc>
        <w:tc>
          <w:tcPr>
            <w:tcW w:w="1130" w:type="dxa"/>
            <w:noWrap w:val="0"/>
            <w:vAlign w:val="center"/>
          </w:tcPr>
          <w:p w14:paraId="39C7A61D">
            <w:pPr>
              <w:pStyle w:val="3"/>
              <w:spacing w:before="0" w:beforeAutospacing="0" w:after="0" w:afterAutospacing="0" w:line="348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  <w:t>商业</w:t>
            </w:r>
          </w:p>
        </w:tc>
        <w:tc>
          <w:tcPr>
            <w:tcW w:w="1041" w:type="dxa"/>
            <w:noWrap w:val="0"/>
            <w:vAlign w:val="center"/>
          </w:tcPr>
          <w:p w14:paraId="281FF89E">
            <w:pPr>
              <w:pStyle w:val="3"/>
              <w:spacing w:before="0" w:beforeAutospacing="0" w:after="0" w:afterAutospacing="0" w:line="348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  <w:t>65.00</w:t>
            </w:r>
          </w:p>
        </w:tc>
        <w:tc>
          <w:tcPr>
            <w:tcW w:w="1115" w:type="dxa"/>
            <w:noWrap w:val="0"/>
            <w:vAlign w:val="center"/>
          </w:tcPr>
          <w:p w14:paraId="672D1908">
            <w:pPr>
              <w:pStyle w:val="3"/>
              <w:spacing w:before="0" w:beforeAutospacing="0" w:after="0" w:afterAutospacing="0" w:line="348" w:lineRule="auto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41800.00</w:t>
            </w:r>
          </w:p>
        </w:tc>
        <w:tc>
          <w:tcPr>
            <w:tcW w:w="1144" w:type="dxa"/>
            <w:noWrap w:val="0"/>
            <w:vAlign w:val="center"/>
          </w:tcPr>
          <w:p w14:paraId="2AFDE2FB">
            <w:pPr>
              <w:pStyle w:val="3"/>
              <w:spacing w:before="0" w:beforeAutospacing="0" w:after="0" w:afterAutospacing="0" w:line="348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  <w:t>百位取整</w:t>
            </w:r>
          </w:p>
        </w:tc>
      </w:tr>
      <w:tr w14:paraId="4E9F5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647" w:type="dxa"/>
            <w:noWrap w:val="0"/>
            <w:vAlign w:val="center"/>
          </w:tcPr>
          <w:p w14:paraId="2CFCDEEE">
            <w:pPr>
              <w:pStyle w:val="3"/>
              <w:spacing w:before="0" w:beforeAutospacing="0" w:after="0" w:afterAutospacing="0" w:line="348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1737" w:type="dxa"/>
            <w:noWrap w:val="0"/>
            <w:vAlign w:val="center"/>
          </w:tcPr>
          <w:p w14:paraId="355B5FED">
            <w:pPr>
              <w:pStyle w:val="3"/>
              <w:spacing w:before="0" w:beforeAutospacing="0" w:after="0" w:afterAutospacing="0" w:line="348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861" w:type="dxa"/>
            <w:noWrap w:val="0"/>
            <w:vAlign w:val="center"/>
          </w:tcPr>
          <w:p w14:paraId="65B39898">
            <w:pPr>
              <w:pStyle w:val="3"/>
              <w:spacing w:before="0" w:beforeAutospacing="0" w:after="0" w:afterAutospacing="0" w:line="348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741" w:type="dxa"/>
            <w:noWrap w:val="0"/>
            <w:vAlign w:val="center"/>
          </w:tcPr>
          <w:p w14:paraId="66E743E7">
            <w:pPr>
              <w:pStyle w:val="3"/>
              <w:spacing w:before="0" w:beforeAutospacing="0" w:after="0" w:afterAutospacing="0" w:line="348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</w:pPr>
          </w:p>
        </w:tc>
        <w:tc>
          <w:tcPr>
            <w:tcW w:w="1006" w:type="dxa"/>
            <w:noWrap w:val="0"/>
            <w:vAlign w:val="center"/>
          </w:tcPr>
          <w:p w14:paraId="4DE3DC2F">
            <w:pPr>
              <w:pStyle w:val="3"/>
              <w:spacing w:before="0" w:beforeAutospacing="0" w:after="0" w:afterAutospacing="0" w:line="348" w:lineRule="auto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</w:rPr>
              <w:t>53.65</w:t>
            </w:r>
          </w:p>
        </w:tc>
        <w:tc>
          <w:tcPr>
            <w:tcW w:w="1058" w:type="dxa"/>
            <w:noWrap w:val="0"/>
            <w:vAlign w:val="center"/>
          </w:tcPr>
          <w:p w14:paraId="7B77EF1A">
            <w:pPr>
              <w:pStyle w:val="3"/>
              <w:spacing w:before="0" w:beforeAutospacing="0" w:after="0" w:afterAutospacing="0" w:line="348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02297A5E">
            <w:pPr>
              <w:pStyle w:val="3"/>
              <w:spacing w:before="0" w:beforeAutospacing="0" w:after="0" w:afterAutospacing="0" w:line="348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41" w:type="dxa"/>
            <w:noWrap w:val="0"/>
            <w:vAlign w:val="center"/>
          </w:tcPr>
          <w:p w14:paraId="0B110ADC">
            <w:pPr>
              <w:pStyle w:val="3"/>
              <w:spacing w:before="0" w:beforeAutospacing="0" w:after="0" w:afterAutospacing="0" w:line="348" w:lineRule="auto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36FF90E9">
            <w:pPr>
              <w:pStyle w:val="3"/>
              <w:spacing w:before="0" w:beforeAutospacing="0" w:after="0" w:afterAutospacing="0" w:line="348" w:lineRule="auto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41800.00</w:t>
            </w:r>
          </w:p>
        </w:tc>
        <w:tc>
          <w:tcPr>
            <w:tcW w:w="1144" w:type="dxa"/>
            <w:noWrap w:val="0"/>
            <w:vAlign w:val="center"/>
          </w:tcPr>
          <w:p w14:paraId="06FEA9B7">
            <w:pPr>
              <w:pStyle w:val="3"/>
              <w:spacing w:before="0" w:beforeAutospacing="0" w:after="0" w:afterAutospacing="0" w:line="348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720A8921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一、资格条件：</w:t>
      </w:r>
    </w:p>
    <w:p w14:paraId="1CC17C5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1．依法设立并有效存续的境内企事业法人（含分支机构）或自然人；</w:t>
      </w:r>
    </w:p>
    <w:p w14:paraId="39C510B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2．不接受联合体参与竞价；</w:t>
      </w:r>
    </w:p>
    <w:p w14:paraId="7E8FD4F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3．国家法律、行政法规规定的其他条件；</w:t>
      </w:r>
    </w:p>
    <w:p w14:paraId="36A07E6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二、承租条件：</w:t>
      </w:r>
    </w:p>
    <w:p w14:paraId="4D5DC0C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1.承租人必须自营所承租房屋，不得转租、转借。</w:t>
      </w:r>
    </w:p>
    <w:p w14:paraId="56DD90EB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.承租人租赁的房屋所从事经营的行业必须符合安全、卫生、环保等方面的规定。不准从事违反安全生产、卫生防疫、环境保护等规定的行业，不准从事其他对周边居民造成严重影响的行业,不得在租赁房屋内储存化学物品、易燃、易爆物品，不得在租赁房屋内从事违法活动。</w:t>
      </w:r>
    </w:p>
    <w:p w14:paraId="230F4FF6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三、承租人确定方式</w:t>
      </w:r>
    </w:p>
    <w:p w14:paraId="2DDC829C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以年度租金的最高出价人成为承租人的方式，即公告期结束后，承租人根据竞价招租公告的要求提交报价,招租人以最高报价确定承租人。</w:t>
      </w:r>
    </w:p>
    <w:p w14:paraId="6B387A8C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即本项目每套门面房只接受各竞拍人报一次不可更改的报价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。</w:t>
      </w:r>
    </w:p>
    <w:p w14:paraId="22231EA9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在招租人确定结果后，如承租人放弃竞价，则竞价保证金不予退还。</w:t>
      </w:r>
    </w:p>
    <w:p w14:paraId="48191443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四、报名时间及方式：</w:t>
      </w:r>
    </w:p>
    <w:p w14:paraId="4C6344BF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2025年07月05日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9: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0起至202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07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日17: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0前携带授权书及企业营业执照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自然人参与项目报名请携带身份证原件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前往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安徽鑫宸博晟工程咨询有限公司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（公司地址：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蚌埠市凤凰国际写字楼B座13层13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07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室；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联系电话：19955261867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）进行报名。</w:t>
      </w:r>
    </w:p>
    <w:p w14:paraId="03B8F3C3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五、竞价时间：</w:t>
      </w:r>
    </w:p>
    <w:p w14:paraId="21DED3B4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采用现场一次性密封报价的方式，报价时间202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07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05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日9: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0至20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07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日9: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0止。投标人携带密封报价单前往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安徽鑫宸博晟工程咨询有限公司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（公司地址：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蚌埠市凤凰国际写字楼B座13层1307室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）进行竞价，价高者成为承租人。</w:t>
      </w:r>
    </w:p>
    <w:p w14:paraId="23604DCD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六、竞价保证金：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1000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元以现金、支付宝或微信等形式缴纳（缴纳时须注明公司名称与项目名称），如不缴纳不接受其投标文件。</w:t>
      </w:r>
    </w:p>
    <w:p w14:paraId="64AE9C9A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七、看样时间：公告期内如需看样的，集中登记安排。</w:t>
      </w:r>
    </w:p>
    <w:p w14:paraId="03185C5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  <w:t>咨询人：赵工</w:t>
      </w:r>
    </w:p>
    <w:p w14:paraId="2FDEA69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  <w:t>电  话：0552-2082033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</w:t>
      </w:r>
    </w:p>
    <w:p w14:paraId="6207EAA6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看样电话：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-SA"/>
        </w:rPr>
        <w:t>0552-2082033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0552-2076066</w:t>
      </w:r>
    </w:p>
    <w:p w14:paraId="20D8D1FB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详情见网址: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2"/>
        </w:rPr>
        <w:t>本公告将在安徽省招投标信息网及安徽省政府采购信息服务网发布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。</w:t>
      </w:r>
    </w:p>
    <w:p w14:paraId="3DA827D8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</w:t>
      </w:r>
    </w:p>
    <w:p w14:paraId="19CD1F64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200"/>
        <w:jc w:val="righ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蚌埠市市政设施管理服务中心</w:t>
      </w:r>
    </w:p>
    <w:p w14:paraId="0B862585">
      <w:pPr>
        <w:jc w:val="right"/>
      </w:pPr>
      <w:r>
        <w:rPr>
          <w:rFonts w:hint="eastAsia" w:ascii="仿宋" w:hAnsi="仿宋" w:eastAsia="仿宋" w:cs="仿宋"/>
          <w:color w:val="auto"/>
          <w:sz w:val="28"/>
          <w:szCs w:val="28"/>
        </w:rPr>
        <w:t>                                 202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07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04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B93022"/>
    <w:rsid w:val="23E75C60"/>
    <w:rsid w:val="380C3C8E"/>
    <w:rsid w:val="4AB93022"/>
    <w:rsid w:val="7639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999</Words>
  <Characters>1112</Characters>
  <Lines>0</Lines>
  <Paragraphs>0</Paragraphs>
  <TotalTime>3</TotalTime>
  <ScaleCrop>false</ScaleCrop>
  <LinksUpToDate>false</LinksUpToDate>
  <CharactersWithSpaces>1155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2025-07-04T08:48:00Z</dcterms:created>
  <dc:creator>Miss 馨，</dc:creator>
  <cp:lastModifiedBy>Miss 馨，</cp:lastModifiedBy>
  <dcterms:modified xsi:type="dcterms:W3CDTF">2025-07-04T09:54:36Z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F1708860E742420895BFF9FD28E37A16_11</vt:lpwstr>
  </property>
  <property fmtid="{D5CDD505-2E9C-101B-9397-08002B2CF9AE}" pid="4" name="KSOTemplateDocerSaveRecord">
    <vt:lpwstr>eyJoZGlkIjoiOWJiMjE2NDcxYzgwMzM5MmVlOWMzZjcyNGIxNDdjM2IiLCJ1c2VySWQiOiIxNTY5ODE0NzkyIn0=</vt:lpwstr>
  </property>
</Properties>
</file>